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11FF2" w14:textId="77777777" w:rsidR="003758A1" w:rsidRDefault="000B3B64">
      <w:pPr>
        <w:pStyle w:val="Title"/>
      </w:pPr>
      <w:r>
        <w:t>Impact Fee Administration</w:t>
      </w:r>
      <w:r>
        <w:br/>
        <w:t>and Collection Policy</w:t>
      </w:r>
    </w:p>
    <w:p w14:paraId="7FE5A048" w14:textId="77777777" w:rsidR="003758A1" w:rsidRDefault="000B3B64">
      <w:pPr>
        <w:pStyle w:val="Heading2"/>
      </w:pPr>
      <w:r>
        <w:t>1. Purpose and controlling authority</w:t>
      </w:r>
    </w:p>
    <w:p w14:paraId="2742F706" w14:textId="77777777" w:rsidR="003758A1" w:rsidRDefault="000B3B64">
      <w:r>
        <w:t>The District will administer impact fees consistently, maintain a clear assessment and payment record, and dedicate collections to eligible growth-related capital needs. This policy implements the Board’s adopted impact-fee schedule under C.R.S. § 32-1-1002(1)(d.5) and the accounting requirements of C.R.S. § 29-1-803. It does not independently establish a new fee, expand covered development, or authorize a new enforcement remedy. Applicable law and duly adopted resolutions control; staff shall refer conflic</w:t>
      </w:r>
      <w:r>
        <w:t>ts to the Fire Chief and District counsel before adverse action.</w:t>
      </w:r>
    </w:p>
    <w:p w14:paraId="4F0B673D" w14:textId="77777777" w:rsidR="003758A1" w:rsidRDefault="000B3B64">
      <w:pPr>
        <w:pStyle w:val="Heading2"/>
      </w:pPr>
      <w:r>
        <w:t>2. Responsibilities</w:t>
      </w:r>
    </w:p>
    <w:p w14:paraId="038462A2" w14:textId="77777777" w:rsidR="003758A1" w:rsidRDefault="000B3B64">
      <w:r>
        <w:t>The Board adopts fees and substantive policy changes. The Fire Chief oversees implementation. Fire Prevention verifies project applicability, permit issuance, plans, and the fee calculation. Finance issues or records invoices, receives payments, maintains the restricted ledger, and reconciles balances. District counsel reviews disputed authority and proposed legal collection actions. A second designated employee verifies each calculation before invoicing when staffing permits; the Chief documents any except</w:t>
      </w:r>
      <w:r>
        <w:t>ion.</w:t>
      </w:r>
    </w:p>
    <w:p w14:paraId="08C8A1AB" w14:textId="77777777" w:rsidR="003758A1" w:rsidRDefault="000B3B64">
      <w:pPr>
        <w:pStyle w:val="Heading2"/>
      </w:pPr>
      <w:r>
        <w:t>3. Applicability and protected applications</w:t>
      </w:r>
    </w:p>
    <w:p w14:paraId="13EED52C" w14:textId="77777777" w:rsidR="003758A1" w:rsidRDefault="000B3B64">
      <w:r>
        <w:t>Before invoicing, staff shall verify District boundaries, project type, the applicable adopted schedule, and the date a completed development-permit application was submitted to the approving local government. Apply the protection in C.R.S. § 32-1-1002(1)(d.5)(VI) for qualifying completed applications submitted before schedule adoption. Do not assume that building-permit issuance date alone determines fee applicability. Obtain the approving government’s records when the application date or completeness is u</w:t>
      </w:r>
      <w:r>
        <w:t>nclear and refer disputed cases to counsel.</w:t>
      </w:r>
    </w:p>
    <w:p w14:paraId="4C74A75D" w14:textId="77777777" w:rsidR="003758A1" w:rsidRDefault="000B3B64">
      <w:r>
        <w:t>Staff shall document exemptions, prior payments, approved credits, and any project-specific agreement. A site-specific dedication or improvement meeting the same capital need must be evaluated to prevent duplicate charging. Staff may not create an exemption or impose a charge outside the adopted schedule. Affordable-housing waivers require applicable Board authorization; a request for relief does not itself establish eligibility.</w:t>
      </w:r>
    </w:p>
    <w:p w14:paraId="32458556" w14:textId="77777777" w:rsidR="003758A1" w:rsidRDefault="000B3B64">
      <w:pPr>
        <w:pStyle w:val="Heading2"/>
      </w:pPr>
      <w:r>
        <w:t>4. Calculation and plan documentation</w:t>
      </w:r>
    </w:p>
    <w:p w14:paraId="3018F2F5" w14:textId="77777777" w:rsidR="003758A1" w:rsidRDefault="000B3B64">
      <w:r>
        <w:t>Use the rate and area definition in the controlling adopted schedule. The posted residential rate at preparation of this draft is $1.94 per square foot of above-grade finished living area, excluding garages and outbuildings. Example: 3,000 qualifying square feet × $1.94 = $5,820, before approved credits. Do not substitute the total permit square footage when it includes excluded areas.</w:t>
      </w:r>
    </w:p>
    <w:p w14:paraId="482D7C1E" w14:textId="77777777" w:rsidR="003758A1" w:rsidRDefault="000B3B64">
      <w:r>
        <w:t>Retain a worksheet identifying included and excluded areas, plan version and page references, rate authority, credits, and the final amount. Request clarification for walkout or partially above-grade levels; do not infer that the entire level is chargeable solely because one wall is exposed. Apply approved written guidance consistently. Route unresolved classifications to the Chief and counsel before billing the disputed area. For non-residential and mixed-use projects, apply the corresponding adopted class</w:t>
      </w:r>
      <w:r>
        <w:t>ifications and measurement rules separately.</w:t>
      </w:r>
    </w:p>
    <w:p w14:paraId="13FF5FF2" w14:textId="77777777" w:rsidR="003758A1" w:rsidRDefault="000B3B64">
      <w:r>
        <w:t>Review additions, replacements, ADUs, changed uses, or revised permits under the adopted schedule before assessing any additional amount. Credit prior payment for the same assessed impact; do not automatically charge a project twice when a permit is replaced or revised.</w:t>
      </w:r>
    </w:p>
    <w:p w14:paraId="4710809C" w14:textId="77777777" w:rsidR="003758A1" w:rsidRDefault="000B3B64">
      <w:pPr>
        <w:pStyle w:val="Heading1"/>
      </w:pPr>
      <w:r>
        <w:lastRenderedPageBreak/>
        <w:t>Proposed policy • Issuance, invoicing, and payment</w:t>
      </w:r>
    </w:p>
    <w:p w14:paraId="5F22B544" w14:textId="77777777" w:rsidR="003758A1" w:rsidRDefault="000B3B64">
      <w:pPr>
        <w:pStyle w:val="Heading2"/>
      </w:pPr>
      <w:r>
        <w:t>5. Permit issuance and preliminary review</w:t>
      </w:r>
    </w:p>
    <w:p w14:paraId="5190CE50" w14:textId="77777777" w:rsidR="003758A1" w:rsidRDefault="000B3B64">
      <w:r>
        <w:t>Staff may review plans and provide an estimate before issuance, but shall not request or accept payment of an impact fee before the approving local government issues the building permit. Any preliminary estimate shall state “Estimate only—no impact-fee payment due before building-permit issuance.” Configure billing systems to prevent pre-issuance payment requests and route unsolicited early payments to Finance for prompt return and documentation.</w:t>
      </w:r>
    </w:p>
    <w:p w14:paraId="3B47C062" w14:textId="77777777" w:rsidR="003758A1" w:rsidRDefault="000B3B64">
      <w:r>
        <w:t>Record the permit number, issuing agency, issuance date, and supporting permit record. A plan submission or agency-review assignment is not, by itself, proof of issuance. Once PPRBD has issued the permit, document that issuance without requiring a second building-permit approval merely to trigger invoicing. Coordinate a notification or routine permit-report process with PPRBD.</w:t>
      </w:r>
    </w:p>
    <w:p w14:paraId="4AAC49F7" w14:textId="77777777" w:rsidR="003758A1" w:rsidRDefault="000B3B64">
      <w:pPr>
        <w:pStyle w:val="Heading2"/>
      </w:pPr>
      <w:r>
        <w:t>6. Invoicing and payment</w:t>
      </w:r>
    </w:p>
    <w:p w14:paraId="4E9E64D1" w14:textId="77777777" w:rsidR="003758A1" w:rsidRDefault="000B3B64">
      <w:r>
        <w:t>After issuance and completion of the assessment, send an itemized invoice to the verified property owner and designated applicant or billing contact. Copying a contractor does not by itself establish personal liability. Record the delivery method and date. If delivery fails, correct the contact information or send by mail and document the follow-up.</w:t>
      </w:r>
    </w:p>
    <w:p w14:paraId="2D8E88D5" w14:textId="77777777" w:rsidR="003758A1" w:rsidRDefault="000B3B64">
      <w:r>
        <w:t>This policy establishes no payment deadline or automatic collection timeline. Invoices shall state the assessed balance and payment instructions without a due date, “due upon receipt” requirement, automatic overdue designation, or late-payment charge. The assessed fee remains an obligation subject to applicable law. Staff shall not invent a payment deadline; any future generally applicable payment terms require Board approval and consistent notice to affected applicants.</w:t>
      </w:r>
    </w:p>
    <w:tbl>
      <w:tblPr>
        <w:tblStyle w:val="LightShading-Accent1"/>
        <w:tblW w:w="0" w:type="auto"/>
        <w:tblLook w:val="04A0" w:firstRow="1" w:lastRow="0" w:firstColumn="1" w:lastColumn="0" w:noHBand="0" w:noVBand="1"/>
      </w:tblPr>
      <w:tblGrid>
        <w:gridCol w:w="5112"/>
        <w:gridCol w:w="5112"/>
      </w:tblGrid>
      <w:tr w:rsidR="003758A1" w14:paraId="1B64C2F7" w14:textId="77777777" w:rsidTr="003758A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12" w:type="dxa"/>
          </w:tcPr>
          <w:p w14:paraId="5024243A" w14:textId="77777777" w:rsidR="003758A1" w:rsidRDefault="000B3B64">
            <w:r>
              <w:t>Required invoice field</w:t>
            </w:r>
          </w:p>
        </w:tc>
        <w:tc>
          <w:tcPr>
            <w:tcW w:w="5112" w:type="dxa"/>
          </w:tcPr>
          <w:p w14:paraId="158E9E8A" w14:textId="77777777" w:rsidR="003758A1" w:rsidRDefault="000B3B64">
            <w:pPr>
              <w:cnfStyle w:val="100000000000" w:firstRow="1" w:lastRow="0" w:firstColumn="0" w:lastColumn="0" w:oddVBand="0" w:evenVBand="0" w:oddHBand="0" w:evenHBand="0" w:firstRowFirstColumn="0" w:firstRowLastColumn="0" w:lastRowFirstColumn="0" w:lastRowLastColumn="0"/>
            </w:pPr>
            <w:r>
              <w:t>Content</w:t>
            </w:r>
          </w:p>
        </w:tc>
      </w:tr>
      <w:tr w:rsidR="003758A1" w14:paraId="242F9514" w14:textId="77777777" w:rsidTr="003758A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112" w:type="dxa"/>
          </w:tcPr>
          <w:p w14:paraId="0398455E" w14:textId="77777777" w:rsidR="003758A1" w:rsidRDefault="000B3B64">
            <w:r>
              <w:t>Project and authority</w:t>
            </w:r>
          </w:p>
        </w:tc>
        <w:tc>
          <w:tcPr>
            <w:tcW w:w="5112" w:type="dxa"/>
          </w:tcPr>
          <w:p w14:paraId="03A9CD24" w14:textId="77777777" w:rsidR="003758A1" w:rsidRDefault="000B3B64">
            <w:pPr>
              <w:cnfStyle w:val="000000100000" w:firstRow="0" w:lastRow="0" w:firstColumn="0" w:lastColumn="0" w:oddVBand="0" w:evenVBand="0" w:oddHBand="1" w:evenHBand="0" w:firstRowFirstColumn="0" w:firstRowLastColumn="0" w:lastRowFirstColumn="0" w:lastRowLastColumn="0"/>
            </w:pPr>
            <w:r>
              <w:t>Address, parcel, permit number and issuance date; applicable schedule/resolution.</w:t>
            </w:r>
          </w:p>
        </w:tc>
      </w:tr>
      <w:tr w:rsidR="003758A1" w14:paraId="6FDEBCE7" w14:textId="77777777" w:rsidTr="003758A1">
        <w:trPr>
          <w:cantSplit/>
        </w:trPr>
        <w:tc>
          <w:tcPr>
            <w:cnfStyle w:val="001000000000" w:firstRow="0" w:lastRow="0" w:firstColumn="1" w:lastColumn="0" w:oddVBand="0" w:evenVBand="0" w:oddHBand="0" w:evenHBand="0" w:firstRowFirstColumn="0" w:firstRowLastColumn="0" w:lastRowFirstColumn="0" w:lastRowLastColumn="0"/>
            <w:tcW w:w="5112" w:type="dxa"/>
          </w:tcPr>
          <w:p w14:paraId="5076E02E" w14:textId="77777777" w:rsidR="003758A1" w:rsidRDefault="000B3B64">
            <w:r>
              <w:t>Calculation</w:t>
            </w:r>
          </w:p>
        </w:tc>
        <w:tc>
          <w:tcPr>
            <w:tcW w:w="5112" w:type="dxa"/>
          </w:tcPr>
          <w:p w14:paraId="7B831C39" w14:textId="77777777" w:rsidR="003758A1" w:rsidRDefault="000B3B64">
            <w:pPr>
              <w:cnfStyle w:val="000000000000" w:firstRow="0" w:lastRow="0" w:firstColumn="0" w:lastColumn="0" w:oddVBand="0" w:evenVBand="0" w:oddHBand="0" w:evenHBand="0" w:firstRowFirstColumn="0" w:firstRowLastColumn="0" w:lastRowFirstColumn="0" w:lastRowLastColumn="0"/>
            </w:pPr>
            <w:r>
              <w:t>Qualifying square footage by category, rate, gross amount, approved credit, prior payment, and net balance.</w:t>
            </w:r>
          </w:p>
        </w:tc>
      </w:tr>
      <w:tr w:rsidR="003758A1" w14:paraId="289A3023" w14:textId="77777777" w:rsidTr="003758A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112" w:type="dxa"/>
          </w:tcPr>
          <w:p w14:paraId="4F01D00B" w14:textId="77777777" w:rsidR="003758A1" w:rsidRDefault="000B3B64">
            <w:r>
              <w:t>Payment</w:t>
            </w:r>
          </w:p>
        </w:tc>
        <w:tc>
          <w:tcPr>
            <w:tcW w:w="5112" w:type="dxa"/>
          </w:tcPr>
          <w:p w14:paraId="13972604" w14:textId="77777777" w:rsidR="003758A1" w:rsidRDefault="000B3B64">
            <w:pPr>
              <w:cnfStyle w:val="000000100000" w:firstRow="0" w:lastRow="0" w:firstColumn="0" w:lastColumn="0" w:oddVBand="0" w:evenVBand="0" w:oddHBand="1" w:evenHBand="0" w:firstRowFirstColumn="0" w:firstRowLastColumn="0" w:lastRowFirstColumn="0" w:lastRowLastColumn="0"/>
            </w:pPr>
            <w:r>
              <w:t>Invoice date, accepted methods, remittance instructions, and receipt contact. No payment due date.</w:t>
            </w:r>
          </w:p>
        </w:tc>
      </w:tr>
      <w:tr w:rsidR="003758A1" w14:paraId="05C05BA3" w14:textId="77777777" w:rsidTr="003758A1">
        <w:trPr>
          <w:cantSplit/>
        </w:trPr>
        <w:tc>
          <w:tcPr>
            <w:cnfStyle w:val="001000000000" w:firstRow="0" w:lastRow="0" w:firstColumn="1" w:lastColumn="0" w:oddVBand="0" w:evenVBand="0" w:oddHBand="0" w:evenHBand="0" w:firstRowFirstColumn="0" w:firstRowLastColumn="0" w:lastRowFirstColumn="0" w:lastRowLastColumn="0"/>
            <w:tcW w:w="5112" w:type="dxa"/>
          </w:tcPr>
          <w:p w14:paraId="3E356989" w14:textId="77777777" w:rsidR="003758A1" w:rsidRDefault="000B3B64">
            <w:r>
              <w:t>Review rights</w:t>
            </w:r>
          </w:p>
        </w:tc>
        <w:tc>
          <w:tcPr>
            <w:tcW w:w="5112" w:type="dxa"/>
          </w:tcPr>
          <w:p w14:paraId="221E76CD" w14:textId="77777777" w:rsidR="003758A1" w:rsidRDefault="000B3B64">
            <w:pPr>
              <w:cnfStyle w:val="000000000000" w:firstRow="0" w:lastRow="0" w:firstColumn="0" w:lastColumn="0" w:oddVBand="0" w:evenVBand="0" w:oddHBand="0" w:evenHBand="0" w:firstRowFirstColumn="0" w:firstRowLastColumn="0" w:lastRowFirstColumn="0" w:lastRowLastColumn="0"/>
            </w:pPr>
            <w:r>
              <w:t>How to request correction or review; contact information; statement preserving applicable legal rights.</w:t>
            </w:r>
          </w:p>
        </w:tc>
      </w:tr>
      <w:tr w:rsidR="003758A1" w14:paraId="0E577534" w14:textId="77777777" w:rsidTr="003758A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112" w:type="dxa"/>
          </w:tcPr>
          <w:p w14:paraId="3F88226E" w14:textId="77777777" w:rsidR="003758A1" w:rsidRDefault="000B3B64">
            <w:r>
              <w:t>Enforcement</w:t>
            </w:r>
          </w:p>
        </w:tc>
        <w:tc>
          <w:tcPr>
            <w:tcW w:w="5112" w:type="dxa"/>
          </w:tcPr>
          <w:p w14:paraId="649DA1DD" w14:textId="77777777" w:rsidR="003758A1" w:rsidRDefault="000B3B64">
            <w:pPr>
              <w:cnfStyle w:val="000000100000" w:firstRow="0" w:lastRow="0" w:firstColumn="0" w:lastColumn="0" w:oddVBand="0" w:evenVBand="0" w:oddHBand="1" w:evenHBand="0" w:firstRowFirstColumn="0" w:firstRowLastColumn="0" w:lastRowFirstColumn="0" w:lastRowLastColumn="0"/>
            </w:pPr>
            <w:r>
              <w:t>Payment questions and balances are handled separately from permits and COs. No automatic collection trigger.</w:t>
            </w:r>
          </w:p>
        </w:tc>
      </w:tr>
    </w:tbl>
    <w:p w14:paraId="4C37FE2B" w14:textId="77777777" w:rsidR="003758A1" w:rsidRDefault="000B3B64">
      <w:pPr>
        <w:pStyle w:val="Heading2"/>
      </w:pPr>
      <w:r>
        <w:t>7. Receipts and agency records</w:t>
      </w:r>
    </w:p>
    <w:p w14:paraId="1B1E8CE4" w14:textId="77777777" w:rsidR="003758A1" w:rsidRDefault="000B3B64">
      <w:r>
        <w:t>Finance shall record payment, issue a receipt identifying the project and invoice, and notify Fire Prevention. Staff shall update the financial status in the District’s records and, where appropriate, PPRBD’s informational record. Mark the fee paid when funds are received, subject to reversal for a returned payment. A receipt does not certify fire-code compliance or authorize occupancy.</w:t>
      </w:r>
    </w:p>
    <w:p w14:paraId="7E0FD56D" w14:textId="77777777" w:rsidR="003758A1" w:rsidRDefault="000B3B64">
      <w:pPr>
        <w:pStyle w:val="Heading2"/>
      </w:pPr>
      <w:r>
        <w:t>8. Separation of collection and code enforcement</w:t>
      </w:r>
    </w:p>
    <w:p w14:paraId="407BA531" w14:textId="77777777" w:rsidR="003758A1" w:rsidRDefault="000B3B64">
      <w:r>
        <w:t>The District shall not place or maintain a building-permit lock, stop-work restriction, inspection refusal, fire-final denial, or certificate-of-occupancy hold solely because an impact fee is unpaid. Staff shall process fire-code approvals and inspections on their independent merits and record impact-fee billing separately.</w:t>
      </w:r>
    </w:p>
    <w:p w14:paraId="627D2689" w14:textId="77777777" w:rsidR="003758A1" w:rsidRDefault="000B3B64">
      <w:r>
        <w:lastRenderedPageBreak/>
        <w:t>Continue authorized fire-code reviews, inspections, and enforcement on their independent merits. Identify the actual code requirement and factual deficiency for any code-related restriction. Payment shall neither cure a code violation nor substitute for a required inspection. Emergency response shall never depend on payment status.</w:t>
      </w:r>
    </w:p>
    <w:p w14:paraId="763C3886" w14:textId="77777777" w:rsidR="003758A1" w:rsidRDefault="000B3B64">
      <w:pPr>
        <w:pStyle w:val="Heading1"/>
      </w:pPr>
      <w:r>
        <w:t>Proposed policy • Review and unpaid accounts</w:t>
      </w:r>
    </w:p>
    <w:p w14:paraId="7F5155F3" w14:textId="77777777" w:rsidR="003758A1" w:rsidRDefault="000B3B64">
      <w:pPr>
        <w:pStyle w:val="Heading2"/>
      </w:pPr>
      <w:r>
        <w:t>9. Corrections and administrative review</w:t>
      </w:r>
    </w:p>
    <w:p w14:paraId="6E5B536B" w14:textId="77777777" w:rsidR="003758A1" w:rsidRDefault="000B3B64">
      <w:r>
        <w:t>An owner or authorized applicant may submit a written request identifying the invoice, disputed calculation or applicability, requested correction or credit, and supporting records. Staff shall acknowledge the request, review the records, and provide a written response explaining the determination. Provide status updates when additional information or review is needed. This policy imposes no internal request or response deadline.</w:t>
      </w:r>
    </w:p>
    <w:p w14:paraId="409C31B9" w14:textId="77777777" w:rsidR="003758A1" w:rsidRDefault="000B3B64">
      <w:r>
        <w:t>Document disputed amounts separately from undisputed balances. While an assessment is under review, pause collection escalation on the disputed amount and coordinate any pending legal action with counsel. Corrected invoices shall show the adjustment and remaining balance without adding a payment deadline.</w:t>
      </w:r>
    </w:p>
    <w:p w14:paraId="432C57CE" w14:textId="77777777" w:rsidR="003758A1" w:rsidRDefault="000B3B64">
      <w:r>
        <w:t>An applicant dissatisfied with the initial determination may request Board review. The Board or a lawfully designated reviewer shall provide a reasonable opportunity to present supporting information and issue a written determination with reasons. Continue the pause on disputed collection escalation during review. Counsel shall confirm the review procedure and conflict-of-interest safeguards before implementation.</w:t>
      </w:r>
    </w:p>
    <w:p w14:paraId="17314C43" w14:textId="77777777" w:rsidR="003758A1" w:rsidRDefault="000B3B64">
      <w:r>
        <w:t>This internal process does not waive statutory rights, require exhaustion where the law does not, or extend court filing deadlines. Payment under protest shall be accepted and recorded without requiring a release of claims. Preserve the rights provided in C.R.S. § 32-1-1002(1)(d.5)(VII). Notices shall not suggest that requesting District review protects a judicial filing deadline.</w:t>
      </w:r>
    </w:p>
    <w:p w14:paraId="59475252" w14:textId="77777777" w:rsidR="003758A1" w:rsidRDefault="000B3B64">
      <w:pPr>
        <w:pStyle w:val="Heading2"/>
      </w:pPr>
      <w:r>
        <w:t>10. Unpaid accounts and follow-up</w:t>
      </w:r>
    </w:p>
    <w:tbl>
      <w:tblPr>
        <w:tblStyle w:val="LightShading-Accent1"/>
        <w:tblW w:w="0" w:type="auto"/>
        <w:tblLook w:val="04A0" w:firstRow="1" w:lastRow="0" w:firstColumn="1" w:lastColumn="0" w:noHBand="0" w:noVBand="1"/>
      </w:tblPr>
      <w:tblGrid>
        <w:gridCol w:w="5112"/>
        <w:gridCol w:w="5112"/>
      </w:tblGrid>
      <w:tr w:rsidR="003758A1" w14:paraId="5C30F067" w14:textId="77777777" w:rsidTr="003758A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12" w:type="dxa"/>
          </w:tcPr>
          <w:p w14:paraId="202E0588" w14:textId="77777777" w:rsidR="003758A1" w:rsidRDefault="000B3B64">
            <w:r>
              <w:t>Stage</w:t>
            </w:r>
          </w:p>
        </w:tc>
        <w:tc>
          <w:tcPr>
            <w:tcW w:w="5112" w:type="dxa"/>
          </w:tcPr>
          <w:p w14:paraId="209701E8" w14:textId="77777777" w:rsidR="003758A1" w:rsidRDefault="000B3B64">
            <w:pPr>
              <w:cnfStyle w:val="100000000000" w:firstRow="1" w:lastRow="0" w:firstColumn="0" w:lastColumn="0" w:oddVBand="0" w:evenVBand="0" w:oddHBand="0" w:evenHBand="0" w:firstRowFirstColumn="0" w:firstRowLastColumn="0" w:lastRowFirstColumn="0" w:lastRowLastColumn="0"/>
            </w:pPr>
            <w:r>
              <w:t>Required action</w:t>
            </w:r>
          </w:p>
        </w:tc>
      </w:tr>
      <w:tr w:rsidR="003758A1" w14:paraId="7E3E8E35" w14:textId="77777777" w:rsidTr="003758A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112" w:type="dxa"/>
          </w:tcPr>
          <w:p w14:paraId="5C83986D" w14:textId="77777777" w:rsidR="003758A1" w:rsidRDefault="000B3B64">
            <w:r>
              <w:t>Account review</w:t>
            </w:r>
          </w:p>
        </w:tc>
        <w:tc>
          <w:tcPr>
            <w:tcW w:w="5112" w:type="dxa"/>
          </w:tcPr>
          <w:p w14:paraId="3F7B74D9" w14:textId="77777777" w:rsidR="003758A1" w:rsidRDefault="000B3B64">
            <w:pPr>
              <w:cnfStyle w:val="000000100000" w:firstRow="0" w:lastRow="0" w:firstColumn="0" w:lastColumn="0" w:oddVBand="0" w:evenVBand="0" w:oddHBand="1" w:evenHBand="0" w:firstRowFirstColumn="0" w:firstRowLastColumn="0" w:lastRowFirstColumn="0" w:lastRowLastColumn="0"/>
            </w:pPr>
            <w:r>
              <w:t>Verify applicability, issuance, calculation, invoice delivery, payments, credits, and any pending review before contacting the owner or applicant.</w:t>
            </w:r>
          </w:p>
        </w:tc>
      </w:tr>
      <w:tr w:rsidR="003758A1" w14:paraId="6328682F" w14:textId="77777777" w:rsidTr="003758A1">
        <w:trPr>
          <w:cantSplit/>
        </w:trPr>
        <w:tc>
          <w:tcPr>
            <w:cnfStyle w:val="001000000000" w:firstRow="0" w:lastRow="0" w:firstColumn="1" w:lastColumn="0" w:oddVBand="0" w:evenVBand="0" w:oddHBand="0" w:evenHBand="0" w:firstRowFirstColumn="0" w:firstRowLastColumn="0" w:lastRowFirstColumn="0" w:lastRowLastColumn="0"/>
            <w:tcW w:w="5112" w:type="dxa"/>
          </w:tcPr>
          <w:p w14:paraId="40E27E3E" w14:textId="77777777" w:rsidR="003758A1" w:rsidRDefault="000B3B64">
            <w:r>
              <w:t>Payment follow-up</w:t>
            </w:r>
          </w:p>
        </w:tc>
        <w:tc>
          <w:tcPr>
            <w:tcW w:w="5112" w:type="dxa"/>
          </w:tcPr>
          <w:p w14:paraId="4C11D515" w14:textId="77777777" w:rsidR="003758A1" w:rsidRDefault="000B3B64">
            <w:pPr>
              <w:cnfStyle w:val="000000000000" w:firstRow="0" w:lastRow="0" w:firstColumn="0" w:lastColumn="0" w:oddVBand="0" w:evenVBand="0" w:oddHBand="0" w:evenHBand="0" w:firstRowFirstColumn="0" w:firstRowLastColumn="0" w:lastRowFirstColumn="0" w:lastRowLastColumn="0"/>
            </w:pPr>
            <w:r>
              <w:t>Send an informational balance reminder and provide payment and review contacts. Keep correspondence records; do not impose a deadline or describe an account as overdue under this policy.</w:t>
            </w:r>
          </w:p>
        </w:tc>
      </w:tr>
      <w:tr w:rsidR="003758A1" w14:paraId="47F122D4" w14:textId="77777777" w:rsidTr="003758A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112" w:type="dxa"/>
          </w:tcPr>
          <w:p w14:paraId="2031BFF3" w14:textId="77777777" w:rsidR="003758A1" w:rsidRDefault="000B3B64">
            <w:r>
              <w:t>Unresolved balance</w:t>
            </w:r>
          </w:p>
        </w:tc>
        <w:tc>
          <w:tcPr>
            <w:tcW w:w="5112" w:type="dxa"/>
          </w:tcPr>
          <w:p w14:paraId="2F9D7DD5" w14:textId="77777777" w:rsidR="003758A1" w:rsidRDefault="000B3B64">
            <w:pPr>
              <w:cnfStyle w:val="000000100000" w:firstRow="0" w:lastRow="0" w:firstColumn="0" w:lastColumn="0" w:oddVBand="0" w:evenVBand="0" w:oddHBand="1" w:evenHBand="0" w:firstRowFirstColumn="0" w:firstRowLastColumn="0" w:lastRowFirstColumn="0" w:lastRowLastColumn="0"/>
            </w:pPr>
            <w:r>
              <w:t>Refer unresolved questions or balances to the Chief and counsel for direction. No automatic collection escalation, penalty, or permit-system restriction is authorized.</w:t>
            </w:r>
          </w:p>
        </w:tc>
      </w:tr>
      <w:tr w:rsidR="003758A1" w14:paraId="6CD743DF" w14:textId="77777777" w:rsidTr="003758A1">
        <w:trPr>
          <w:cantSplit/>
        </w:trPr>
        <w:tc>
          <w:tcPr>
            <w:cnfStyle w:val="001000000000" w:firstRow="0" w:lastRow="0" w:firstColumn="1" w:lastColumn="0" w:oddVBand="0" w:evenVBand="0" w:oddHBand="0" w:evenHBand="0" w:firstRowFirstColumn="0" w:firstRowLastColumn="0" w:lastRowFirstColumn="0" w:lastRowLastColumn="0"/>
            <w:tcW w:w="5112" w:type="dxa"/>
          </w:tcPr>
          <w:p w14:paraId="08D1FFAD" w14:textId="77777777" w:rsidR="003758A1" w:rsidRDefault="000B3B64">
            <w:r>
              <w:t>Further collection action</w:t>
            </w:r>
          </w:p>
        </w:tc>
        <w:tc>
          <w:tcPr>
            <w:tcW w:w="5112" w:type="dxa"/>
          </w:tcPr>
          <w:p w14:paraId="7B4A4F75" w14:textId="77777777" w:rsidR="003758A1" w:rsidRDefault="000B3B64">
            <w:pPr>
              <w:cnfStyle w:val="000000000000" w:firstRow="0" w:lastRow="0" w:firstColumn="0" w:lastColumn="0" w:oddVBand="0" w:evenVBand="0" w:oddHBand="0" w:evenHBand="0" w:firstRowFirstColumn="0" w:firstRowLastColumn="0" w:lastRowFirstColumn="0" w:lastRowLastColumn="0"/>
            </w:pPr>
            <w:r>
              <w:t>Before initiating an adverse collection action, counsel and the Board shall confirm legal authority, the basis for enforceability, any required payment demand and response opportunity, and necessary authorization. This draft establishes no such deadline or enforcement schedule.</w:t>
            </w:r>
          </w:p>
        </w:tc>
      </w:tr>
    </w:tbl>
    <w:p w14:paraId="1953B255" w14:textId="77777777" w:rsidR="003758A1" w:rsidRDefault="000B3B64">
      <w:r>
        <w:t xml:space="preserve">This policy does not itself authorize late interest, penalties, collection costs, attorney fees, lien recording, or foreclosure. Such amounts or actions require separate legal authority and applicable adopted authorization. Counsel shall specifically determine whether and how C.R.S. § 32-1-1001(1)(j)(I) applies to an unpaid impact fee before staff </w:t>
      </w:r>
      <w:r>
        <w:lastRenderedPageBreak/>
        <w:t>asserts a lien remedy. Do not promise or threaten an automatic lien, foreclosure, permit suspension, or CO denial in routine notices.</w:t>
      </w:r>
    </w:p>
    <w:p w14:paraId="3AED2525" w14:textId="77777777" w:rsidR="003758A1" w:rsidRDefault="000B3B64">
      <w:pPr>
        <w:pStyle w:val="Heading2"/>
      </w:pPr>
      <w:r>
        <w:t>11. Payment questions and hardship requests</w:t>
      </w:r>
    </w:p>
    <w:p w14:paraId="36B6D41C" w14:textId="77777777" w:rsidR="003758A1" w:rsidRDefault="000B3B64">
      <w:r>
        <w:t>Staff may receive questions about payment, installments, or hardship and document the request. Staff shall not promise a fee reduction, waiver, or new payment terms. Refer requests requiring an agreement or policy decision to the Chief, counsel, and the Board or an expressly authorized official. Financial hardship alone does not create an exemption under this policy.</w:t>
      </w:r>
    </w:p>
    <w:p w14:paraId="1EF3FD95" w14:textId="77777777" w:rsidR="003758A1" w:rsidRDefault="000B3B64">
      <w:pPr>
        <w:pStyle w:val="Heading1"/>
      </w:pPr>
      <w:r>
        <w:t>Proposed policy • Funds, refunds, and implementation</w:t>
      </w:r>
    </w:p>
    <w:p w14:paraId="1153F494" w14:textId="77777777" w:rsidR="003758A1" w:rsidRDefault="000B3B64">
      <w:pPr>
        <w:pStyle w:val="Heading2"/>
      </w:pPr>
      <w:r>
        <w:t>12. Refunds and assessment changes</w:t>
      </w:r>
    </w:p>
    <w:p w14:paraId="5CDA9520" w14:textId="77777777" w:rsidR="003758A1" w:rsidRDefault="000B3B64">
      <w:r>
        <w:t>Accept written refund or correction requests with project and payment records. Finance and Fire Prevention shall verify overpayments, duplicate payments, incorrect area, inapplicability, approved credits, and changes in permitted scope. The Chief and counsel shall determine the required correction or refund under governing law and resolutions; Finance shall process approved refunds promptly, with any interest legally required. Permit cancellation, expiration, or abandonment shall receive a documented review</w:t>
      </w:r>
      <w:r>
        <w:t xml:space="preserve"> and shall not be described as automatically refundable or automatically nonrefundable. Do not condition a legally owed refund on a release of claims.</w:t>
      </w:r>
    </w:p>
    <w:p w14:paraId="4897D1C7" w14:textId="77777777" w:rsidR="003758A1" w:rsidRDefault="000B3B64">
      <w:pPr>
        <w:pStyle w:val="Heading2"/>
      </w:pPr>
      <w:r>
        <w:t>13. Accounting and eligible expenditures</w:t>
      </w:r>
    </w:p>
    <w:p w14:paraId="0357A161" w14:textId="77777777" w:rsidR="003758A1" w:rsidRDefault="000B3B64">
      <w:r>
        <w:t>Deposit collections in an interest-bearing account identifying the applicable capital category, account, or fund, with separate accounting and interest credited to that account. Finance shall reconcile receipts, receivables, credits, refunds, interest, and disbursements monthly. Maintain an audit trail from each invoice to the ledger and from each expenditure to an approved eligible capital purpose.</w:t>
      </w:r>
    </w:p>
    <w:p w14:paraId="53D6B0CC" w14:textId="77777777" w:rsidR="003758A1" w:rsidRDefault="000B3B64">
      <w:r>
        <w:t>Impact-fee money shall support eligible growth-related capital costs within the adopted study and capital program. Do not use it for routine staffing, ordinary operating expenses, or deficiencies unrelated to new development. Document the growth share, other funding sources, and any developer contribution for each funded project. Seek counsel and Board review before changing the capital program or allocation method.</w:t>
      </w:r>
    </w:p>
    <w:p w14:paraId="6E49628A" w14:textId="77777777" w:rsidR="003758A1" w:rsidRDefault="000B3B64">
      <w:r>
        <w:t>At least annually, publish the information required by C.R.S. § 29-1-803: dollar allocations of each collected charge to accounts, each account’s average annual interest rate, and total disbursements for the most recent fiscal year. Finance shall also provide the Board a quarterly summary of collections, aged receivables, disputes, credits, refunds, and capital expenditures.</w:t>
      </w:r>
    </w:p>
    <w:p w14:paraId="10563F92" w14:textId="77777777" w:rsidR="003758A1" w:rsidRDefault="000B3B64">
      <w:pPr>
        <w:pStyle w:val="Heading2"/>
      </w:pPr>
      <w:r>
        <w:t>14. Records and document control</w:t>
      </w:r>
    </w:p>
    <w:p w14:paraId="57D18C32" w14:textId="77777777" w:rsidR="003758A1" w:rsidRDefault="000B3B64">
      <w:r>
        <w:t>Retain the application-date evidence, permit issuance record, plans, calculation, invoice and delivery record, correspondence, decisions, payment, refund, and agency updates under the applicable retention schedule. Preserve records subject to a litigation hold; do not delete or overwrite prior website language or billing records. Limit access to payment and personal information appropriately.</w:t>
      </w:r>
    </w:p>
    <w:p w14:paraId="1CFC30EF" w14:textId="77777777" w:rsidR="003758A1" w:rsidRDefault="000B3B64">
      <w:r>
        <w:t>The Chief shall keep website text, forms, invoice templates, and PPRBD comments consistent with the controlling documents. Staff shall use a version-controlled calculation guide. Review this policy annually and after relevant legal changes; substantive changes require Board action and any legally required notice.</w:t>
      </w:r>
    </w:p>
    <w:p w14:paraId="503F3FF1" w14:textId="434F4D28" w:rsidR="003758A1" w:rsidRDefault="003758A1"/>
    <w:sectPr w:rsidR="003758A1" w:rsidSect="00034616">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20A0A" w14:textId="77777777" w:rsidR="000B3B64" w:rsidRDefault="000B3B64">
      <w:pPr>
        <w:spacing w:after="0" w:line="240" w:lineRule="auto"/>
      </w:pPr>
      <w:r>
        <w:separator/>
      </w:r>
    </w:p>
  </w:endnote>
  <w:endnote w:type="continuationSeparator" w:id="0">
    <w:p w14:paraId="1BE5B3A5" w14:textId="77777777" w:rsidR="000B3B64" w:rsidRDefault="000B3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3F5F" w14:textId="77777777" w:rsidR="003758A1" w:rsidRDefault="000B3B64">
    <w:pPr>
      <w:pStyle w:val="Footer"/>
    </w:pPr>
    <w:r>
      <w:t xml:space="preserve">DRAFT • LEGAL REVIEW • October 6, </w:t>
    </w:r>
    <w:proofErr w:type="gramStart"/>
    <w:r>
      <w:t>2026</w:t>
    </w:r>
    <w:proofErr w:type="gramEnd"/>
    <w:r>
      <w:t xml:space="preserve">                                      Page </w:t>
    </w:r>
    <w:r>
      <w:fldChar w:fldCharType="begin"/>
    </w:r>
    <w:r>
      <w:instrText>PAGE</w:instrText>
    </w:r>
    <w:r>
      <w:fldChar w:fldCharType="separate"/>
    </w:r>
    <w:r w:rsidR="001A12D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A20E3" w14:textId="77777777" w:rsidR="000B3B64" w:rsidRDefault="000B3B64">
      <w:pPr>
        <w:spacing w:after="0" w:line="240" w:lineRule="auto"/>
      </w:pPr>
      <w:r>
        <w:separator/>
      </w:r>
    </w:p>
  </w:footnote>
  <w:footnote w:type="continuationSeparator" w:id="0">
    <w:p w14:paraId="58AB1965" w14:textId="77777777" w:rsidR="000B3B64" w:rsidRDefault="000B3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D249" w14:textId="77777777" w:rsidR="003758A1" w:rsidRDefault="000B3B64">
    <w:pPr>
      <w:pStyle w:val="Caption"/>
    </w:pPr>
    <w:r>
      <w:t>BLACK FOREST FIRE RESCUE PROTECTION DISTRICT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0003855">
    <w:abstractNumId w:val="8"/>
  </w:num>
  <w:num w:numId="2" w16cid:durableId="1927495331">
    <w:abstractNumId w:val="6"/>
  </w:num>
  <w:num w:numId="3" w16cid:durableId="2070416026">
    <w:abstractNumId w:val="5"/>
  </w:num>
  <w:num w:numId="4" w16cid:durableId="40134855">
    <w:abstractNumId w:val="4"/>
  </w:num>
  <w:num w:numId="5" w16cid:durableId="868419233">
    <w:abstractNumId w:val="7"/>
  </w:num>
  <w:num w:numId="6" w16cid:durableId="1682079328">
    <w:abstractNumId w:val="3"/>
  </w:num>
  <w:num w:numId="7" w16cid:durableId="317392977">
    <w:abstractNumId w:val="2"/>
  </w:num>
  <w:num w:numId="8" w16cid:durableId="1462772382">
    <w:abstractNumId w:val="1"/>
  </w:num>
  <w:num w:numId="9" w16cid:durableId="120728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8E0"/>
    <w:rsid w:val="000B3B64"/>
    <w:rsid w:val="0015074B"/>
    <w:rsid w:val="001A12D1"/>
    <w:rsid w:val="0029639D"/>
    <w:rsid w:val="00326F90"/>
    <w:rsid w:val="003758A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2A961D"/>
  <w14:defaultImageDpi w14:val="300"/>
  <w15:docId w15:val="{6BCA545D-EE01-4F0B-BF3E-15F6C3F6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B5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B5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B5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1968</Words>
  <Characters>11219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Fielding Lucas</cp:lastModifiedBy>
  <cp:revision>2</cp:revision>
  <dcterms:created xsi:type="dcterms:W3CDTF">2026-10-06T19:34:00Z</dcterms:created>
  <dcterms:modified xsi:type="dcterms:W3CDTF">2026-10-06T19:34:00Z</dcterms:modified>
  <cp:category/>
</cp:coreProperties>
</file>